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086" w:rsidRDefault="00BE301B" w:rsidP="002F62A0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разногласий</w:t>
      </w:r>
      <w:r w:rsidR="008874C9">
        <w:rPr>
          <w:rFonts w:ascii="Times New Roman" w:hAnsi="Times New Roman"/>
          <w:sz w:val="28"/>
          <w:szCs w:val="28"/>
        </w:rPr>
        <w:t xml:space="preserve"> по з</w:t>
      </w:r>
      <w:r w:rsidR="002F62A0">
        <w:rPr>
          <w:rFonts w:ascii="Times New Roman" w:hAnsi="Times New Roman"/>
          <w:sz w:val="28"/>
          <w:szCs w:val="28"/>
        </w:rPr>
        <w:t>амечания</w:t>
      </w:r>
      <w:r w:rsidR="008874C9">
        <w:rPr>
          <w:rFonts w:ascii="Times New Roman" w:hAnsi="Times New Roman"/>
          <w:sz w:val="28"/>
          <w:szCs w:val="28"/>
        </w:rPr>
        <w:t>м</w:t>
      </w:r>
      <w:r w:rsidR="002F62A0">
        <w:rPr>
          <w:rFonts w:ascii="Times New Roman" w:hAnsi="Times New Roman"/>
          <w:sz w:val="28"/>
          <w:szCs w:val="28"/>
        </w:rPr>
        <w:t xml:space="preserve"> и предложения</w:t>
      </w:r>
      <w:r w:rsidR="008874C9">
        <w:rPr>
          <w:rFonts w:ascii="Times New Roman" w:hAnsi="Times New Roman"/>
          <w:sz w:val="28"/>
          <w:szCs w:val="28"/>
        </w:rPr>
        <w:t>м</w:t>
      </w:r>
      <w:r w:rsidR="002F62A0">
        <w:rPr>
          <w:rFonts w:ascii="Times New Roman" w:hAnsi="Times New Roman"/>
          <w:sz w:val="28"/>
          <w:szCs w:val="28"/>
        </w:rPr>
        <w:t xml:space="preserve"> РГП «Казахстанский Институт Метрологии»</w:t>
      </w:r>
      <w:r w:rsidR="00BF27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736">
        <w:rPr>
          <w:rFonts w:ascii="Times New Roman" w:hAnsi="Times New Roman"/>
          <w:sz w:val="28"/>
          <w:szCs w:val="28"/>
        </w:rPr>
        <w:t>Таджикстандарта</w:t>
      </w:r>
      <w:proofErr w:type="spellEnd"/>
      <w:r w:rsidR="00BF2736">
        <w:rPr>
          <w:rFonts w:ascii="Times New Roman" w:hAnsi="Times New Roman"/>
          <w:sz w:val="28"/>
          <w:szCs w:val="28"/>
        </w:rPr>
        <w:t>, Госстандарта Республики Беларусь</w:t>
      </w:r>
      <w:r w:rsidR="002F62A0">
        <w:rPr>
          <w:rFonts w:ascii="Times New Roman" w:hAnsi="Times New Roman"/>
          <w:sz w:val="28"/>
          <w:szCs w:val="28"/>
        </w:rPr>
        <w:t xml:space="preserve"> </w:t>
      </w:r>
      <w:r w:rsidR="00117968">
        <w:rPr>
          <w:rFonts w:ascii="Times New Roman" w:hAnsi="Times New Roman"/>
          <w:sz w:val="28"/>
          <w:szCs w:val="28"/>
        </w:rPr>
        <w:t>по проекту</w:t>
      </w:r>
      <w:r w:rsidR="008874C9">
        <w:rPr>
          <w:rFonts w:ascii="Times New Roman" w:hAnsi="Times New Roman"/>
          <w:sz w:val="28"/>
          <w:szCs w:val="28"/>
        </w:rPr>
        <w:t xml:space="preserve"> </w:t>
      </w:r>
      <w:r w:rsidR="002F62A0">
        <w:rPr>
          <w:rFonts w:ascii="Times New Roman" w:hAnsi="Times New Roman"/>
          <w:sz w:val="28"/>
          <w:szCs w:val="28"/>
        </w:rPr>
        <w:t>ПМГ 06</w:t>
      </w:r>
      <w:r w:rsidR="00BF2736">
        <w:rPr>
          <w:rFonts w:ascii="Times New Roman" w:hAnsi="Times New Roman"/>
          <w:sz w:val="28"/>
          <w:szCs w:val="28"/>
        </w:rPr>
        <w:t>-ХХХХ</w:t>
      </w:r>
      <w:r w:rsidR="002F62A0">
        <w:rPr>
          <w:rFonts w:ascii="Times New Roman" w:hAnsi="Times New Roman"/>
          <w:sz w:val="28"/>
          <w:szCs w:val="28"/>
        </w:rPr>
        <w:t xml:space="preserve"> «</w:t>
      </w:r>
      <w:r w:rsidR="002F62A0" w:rsidRPr="00AD0628">
        <w:rPr>
          <w:rFonts w:ascii="Times New Roman" w:hAnsi="Times New Roman"/>
          <w:bCs/>
          <w:sz w:val="28"/>
          <w:szCs w:val="28"/>
        </w:rPr>
        <w:t xml:space="preserve">Порядок признания результатов испытаний </w:t>
      </w:r>
      <w:r w:rsidR="00117968">
        <w:rPr>
          <w:rFonts w:ascii="Times New Roman" w:hAnsi="Times New Roman"/>
          <w:bCs/>
          <w:sz w:val="28"/>
          <w:szCs w:val="28"/>
        </w:rPr>
        <w:br/>
      </w:r>
      <w:r w:rsidR="002F62A0" w:rsidRPr="00AD0628">
        <w:rPr>
          <w:rFonts w:ascii="Times New Roman" w:hAnsi="Times New Roman"/>
          <w:bCs/>
          <w:sz w:val="28"/>
          <w:szCs w:val="28"/>
        </w:rPr>
        <w:t>и утверждения типа, первичной поверки, метрологической аттестации средств измерений</w:t>
      </w:r>
      <w:r w:rsidR="002F62A0">
        <w:rPr>
          <w:rFonts w:ascii="Times New Roman" w:hAnsi="Times New Roman"/>
          <w:sz w:val="28"/>
          <w:szCs w:val="28"/>
        </w:rPr>
        <w:t>»</w:t>
      </w:r>
      <w:r w:rsidR="0003575C">
        <w:rPr>
          <w:rFonts w:ascii="Times New Roman" w:hAnsi="Times New Roman"/>
          <w:sz w:val="28"/>
          <w:szCs w:val="28"/>
        </w:rPr>
        <w:t xml:space="preserve"> </w:t>
      </w:r>
    </w:p>
    <w:p w:rsidR="002F62A0" w:rsidRPr="002F62A0" w:rsidRDefault="002F62A0" w:rsidP="002F6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24"/>
        <w:gridCol w:w="888"/>
        <w:gridCol w:w="7262"/>
        <w:gridCol w:w="4086"/>
      </w:tblGrid>
      <w:tr w:rsidR="00BF2736" w:rsidRPr="002F62A0" w:rsidTr="00FA539E">
        <w:tc>
          <w:tcPr>
            <w:tcW w:w="800" w:type="pct"/>
          </w:tcPr>
          <w:p w:rsidR="00BF2736" w:rsidRPr="002F62A0" w:rsidRDefault="00BF2736" w:rsidP="002F6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национального органа (исх.)</w:t>
            </w:r>
          </w:p>
        </w:tc>
        <w:tc>
          <w:tcPr>
            <w:tcW w:w="298" w:type="pct"/>
          </w:tcPr>
          <w:p w:rsidR="00BF2736" w:rsidRPr="002F62A0" w:rsidRDefault="00BF2736" w:rsidP="002F6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A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2F62A0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96" w:type="pct"/>
          </w:tcPr>
          <w:p w:rsidR="00BF2736" w:rsidRPr="002F62A0" w:rsidRDefault="00BF2736" w:rsidP="002F6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A0">
              <w:rPr>
                <w:rFonts w:ascii="Times New Roman" w:hAnsi="Times New Roman"/>
                <w:sz w:val="24"/>
                <w:szCs w:val="24"/>
              </w:rPr>
              <w:t>Замечания и предложения</w:t>
            </w:r>
          </w:p>
        </w:tc>
        <w:tc>
          <w:tcPr>
            <w:tcW w:w="1405" w:type="pct"/>
          </w:tcPr>
          <w:p w:rsidR="00BF2736" w:rsidRPr="002F62A0" w:rsidRDefault="00BF2736" w:rsidP="002F62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2A0">
              <w:rPr>
                <w:rFonts w:ascii="Times New Roman" w:hAnsi="Times New Roman"/>
                <w:b/>
                <w:sz w:val="24"/>
                <w:szCs w:val="24"/>
              </w:rPr>
              <w:t>Заключение разработчика</w:t>
            </w:r>
          </w:p>
        </w:tc>
      </w:tr>
      <w:tr w:rsidR="00BF2736" w:rsidRPr="002F62A0" w:rsidTr="00FA539E">
        <w:tc>
          <w:tcPr>
            <w:tcW w:w="800" w:type="pct"/>
          </w:tcPr>
          <w:p w:rsidR="00BF2736" w:rsidRPr="002F62A0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РГП «Казахстанский Институт Метрологии» (исх. от 02.08.2019 г. № 9107</w:t>
            </w:r>
          </w:p>
        </w:tc>
        <w:tc>
          <w:tcPr>
            <w:tcW w:w="298" w:type="pct"/>
          </w:tcPr>
          <w:p w:rsidR="00BF2736" w:rsidRPr="002F62A0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62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6" w:type="pct"/>
          </w:tcPr>
          <w:p w:rsidR="00BF2736" w:rsidRPr="002F62A0" w:rsidRDefault="00BF2736" w:rsidP="002F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Первый абзац п.2.3 изложить в следующей редакции:</w:t>
            </w:r>
          </w:p>
          <w:p w:rsidR="00BF2736" w:rsidRDefault="00BF2736" w:rsidP="002F62A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«Юридическое лицо (индивидуальный предприниматель), являющийся изготовителем утвержденного типа средства измерений (далее – Заявитель), заинтересованное в признании утверждения типа выпускаемого им средства измерений и его первичной поверки в государстве – участнике Соглашения, представляет </w:t>
            </w:r>
            <w:r w:rsidRPr="002F62A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через национальный орган государства, на территории которого Заявитель осуществляет выпуск из производства средства измерений утвержденного типа</w:t>
            </w:r>
            <w:r w:rsidRPr="002F62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6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национальный орган этого государства – участника Соглашения:».</w:t>
            </w:r>
          </w:p>
          <w:p w:rsidR="00BF2736" w:rsidRPr="002F62A0" w:rsidRDefault="00BF2736" w:rsidP="002F62A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F2736" w:rsidRPr="002F62A0" w:rsidRDefault="00BF2736" w:rsidP="0093203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Также, в данном пункте предусмотреть документы, которые необходимо направить для признания результатов первичной поверки средств измерений.</w:t>
            </w:r>
          </w:p>
        </w:tc>
        <w:tc>
          <w:tcPr>
            <w:tcW w:w="1405" w:type="pct"/>
          </w:tcPr>
          <w:p w:rsidR="00BF2736" w:rsidRDefault="00BF2736" w:rsidP="00B61AA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85B">
              <w:rPr>
                <w:rFonts w:ascii="Times New Roman" w:hAnsi="Times New Roman"/>
                <w:b/>
                <w:sz w:val="24"/>
                <w:szCs w:val="24"/>
              </w:rPr>
              <w:t>Отклонено</w:t>
            </w:r>
            <w:r w:rsidRPr="002F62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F2736" w:rsidRDefault="00BF2736" w:rsidP="00B61AA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Данное требование увеличивает сроки выполнения процедуры признания, возлагает дополнительную неоправданную бюрократическую нагрузку на Заявителя и </w:t>
            </w:r>
            <w:r w:rsidRPr="00C42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национальный орган государства, на территории которого Заявитель осуществляет выпуск из производства средства измерений утвержденного типа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F2736" w:rsidRDefault="00BF2736" w:rsidP="0093203C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2736" w:rsidRDefault="00BF2736" w:rsidP="00584F3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85B">
              <w:rPr>
                <w:rFonts w:ascii="Times New Roman" w:hAnsi="Times New Roman"/>
                <w:b/>
                <w:sz w:val="24"/>
                <w:szCs w:val="24"/>
              </w:rPr>
              <w:t>Отклонено</w:t>
            </w:r>
            <w:r w:rsidRPr="002F62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F2736" w:rsidRPr="002F0F3A" w:rsidRDefault="00BF2736" w:rsidP="0093203C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C485B">
              <w:rPr>
                <w:rFonts w:ascii="Times New Roman" w:hAnsi="Times New Roman"/>
                <w:sz w:val="24"/>
                <w:szCs w:val="24"/>
              </w:rPr>
              <w:t>окументы, которые необходимо направить для признания результатов первичной поверки средств измерений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указаны в Приложении Б.</w:t>
            </w:r>
          </w:p>
          <w:p w:rsidR="00BF2736" w:rsidRDefault="00BF2736" w:rsidP="0093203C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2736" w:rsidRPr="002652FD" w:rsidRDefault="00BF2736" w:rsidP="008E4C9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205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/>
                <w:sz w:val="24"/>
                <w:szCs w:val="24"/>
              </w:rPr>
              <w:t>. На совещании от 04.0</w:t>
            </w:r>
            <w:r w:rsidR="008E4C9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.2019 г. данный пункт не </w:t>
            </w:r>
            <w:r w:rsidR="00405A35">
              <w:rPr>
                <w:rFonts w:ascii="Times New Roman" w:hAnsi="Times New Roman"/>
                <w:sz w:val="24"/>
                <w:szCs w:val="24"/>
              </w:rPr>
              <w:t>рассматривался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2736" w:rsidRPr="002F62A0" w:rsidTr="00FA539E">
        <w:tc>
          <w:tcPr>
            <w:tcW w:w="800" w:type="pct"/>
          </w:tcPr>
          <w:p w:rsidR="00BF2736" w:rsidRPr="002F62A0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BF2736" w:rsidRPr="002F62A0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62A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96" w:type="pct"/>
          </w:tcPr>
          <w:p w:rsidR="00BF2736" w:rsidRPr="00B61AA7" w:rsidRDefault="00BF2736" w:rsidP="00B61A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A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п.2.4 рекомендуется исключить следующий абзац:</w:t>
            </w:r>
          </w:p>
          <w:p w:rsidR="00BF2736" w:rsidRDefault="00BF2736" w:rsidP="00B61A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1AA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 испытательная лаборатория (центр) имеет подтверждение </w:t>
            </w:r>
            <w:proofErr w:type="spellStart"/>
            <w:r w:rsidRPr="00B61AA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прослеживаемости</w:t>
            </w:r>
            <w:proofErr w:type="spellEnd"/>
            <w:r w:rsidRPr="00B61AA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средств измерений к национальным эталонам в соответствии с требованиями МОЗМ, МКМВ;</w:t>
            </w:r>
          </w:p>
          <w:p w:rsidR="00BF2736" w:rsidRDefault="00BF2736" w:rsidP="00B61A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736" w:rsidRDefault="00BF2736" w:rsidP="00B61A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736" w:rsidRDefault="00BF2736" w:rsidP="00B61A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736" w:rsidRDefault="00BF2736" w:rsidP="00B61A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736" w:rsidRPr="00B61AA7" w:rsidRDefault="00BF2736" w:rsidP="00B61A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1A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Также, в данном пункте привести следующую информацию:</w:t>
            </w:r>
          </w:p>
          <w:p w:rsidR="00BF2736" w:rsidRDefault="00BF2736" w:rsidP="00C423D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1AA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C423D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Национальный орган страны-импортера вправе проверить выполнение условий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Соглашения</w:t>
            </w:r>
            <w:r w:rsidRPr="00C423D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:rsidR="00BF2736" w:rsidRPr="00B61AA7" w:rsidRDefault="00BF2736" w:rsidP="00C423D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423D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 этом случае национальный орган страны-импортера запрашивает, а национальный орган страны-изготовителя представляет в месячный срок необходимые документы</w:t>
            </w:r>
            <w:r w:rsidRPr="00B61AA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».</w:t>
            </w:r>
          </w:p>
          <w:p w:rsidR="00BF2736" w:rsidRPr="00B61AA7" w:rsidRDefault="00BF2736" w:rsidP="00B61A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BF2736" w:rsidRDefault="00BF2736" w:rsidP="00B61AA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Отклонен</w:t>
            </w:r>
            <w:r w:rsidRPr="00E25352">
              <w:rPr>
                <w:rFonts w:ascii="Times New Roman" w:hAnsi="Times New Roman"/>
                <w:b/>
                <w:sz w:val="24"/>
                <w:szCs w:val="24"/>
              </w:rPr>
              <w:t xml:space="preserve">о. </w:t>
            </w:r>
          </w:p>
          <w:p w:rsidR="00BF2736" w:rsidRPr="00374982" w:rsidRDefault="00BF2736" w:rsidP="0037498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Противоречит статье 3 Соглашения </w:t>
            </w:r>
            <w:r w:rsidRPr="00374982">
              <w:rPr>
                <w:rFonts w:ascii="Times New Roman" w:hAnsi="Times New Roman"/>
                <w:sz w:val="24"/>
                <w:szCs w:val="24"/>
              </w:rPr>
              <w:t>о взаимном признании результатов испытаний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4982">
              <w:rPr>
                <w:rFonts w:ascii="Times New Roman" w:hAnsi="Times New Roman"/>
                <w:sz w:val="24"/>
                <w:szCs w:val="24"/>
              </w:rPr>
              <w:t>с целью утвер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374982">
              <w:rPr>
                <w:rFonts w:ascii="Times New Roman" w:hAnsi="Times New Roman"/>
                <w:sz w:val="24"/>
                <w:szCs w:val="24"/>
              </w:rPr>
              <w:t xml:space="preserve">дения </w:t>
            </w:r>
            <w:r w:rsidRPr="00374982">
              <w:rPr>
                <w:rFonts w:ascii="Times New Roman" w:hAnsi="Times New Roman"/>
                <w:sz w:val="24"/>
                <w:szCs w:val="24"/>
              </w:rPr>
              <w:lastRenderedPageBreak/>
              <w:t>типа, метрологической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4982">
              <w:rPr>
                <w:rFonts w:ascii="Times New Roman" w:hAnsi="Times New Roman"/>
                <w:sz w:val="24"/>
                <w:szCs w:val="24"/>
              </w:rPr>
              <w:t>аттестации, поверки и калибровки средств измерений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4982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Pr="00374982">
              <w:rPr>
                <w:rFonts w:ascii="Times New Roman" w:hAnsi="Times New Roman"/>
                <w:bCs/>
                <w:sz w:val="24"/>
                <w:szCs w:val="24"/>
              </w:rPr>
              <w:t>Бурабай</w:t>
            </w:r>
            <w:proofErr w:type="spellEnd"/>
            <w:r w:rsidRPr="00374982">
              <w:rPr>
                <w:rFonts w:ascii="Times New Roman" w:hAnsi="Times New Roman"/>
                <w:bCs/>
                <w:sz w:val="24"/>
                <w:szCs w:val="24"/>
              </w:rPr>
              <w:t>, 29 мая 2015 года)</w:t>
            </w:r>
          </w:p>
          <w:p w:rsidR="00BF2736" w:rsidRDefault="00BF2736" w:rsidP="00507845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2736" w:rsidRDefault="00BF2736" w:rsidP="00B61A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07277">
              <w:rPr>
                <w:rFonts w:ascii="Times New Roman" w:hAnsi="Times New Roman"/>
                <w:b/>
                <w:sz w:val="24"/>
                <w:szCs w:val="24"/>
              </w:rPr>
              <w:t>Отклонено</w:t>
            </w:r>
            <w:r w:rsidRPr="00F072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F2736" w:rsidRDefault="00BF2736" w:rsidP="00B85A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Это уже указано в п. 2.4 (абзац 1).</w:t>
            </w:r>
          </w:p>
          <w:p w:rsidR="00BF2736" w:rsidRPr="00E25352" w:rsidRDefault="00BF2736" w:rsidP="00B85A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352">
              <w:rPr>
                <w:rFonts w:ascii="Times New Roman" w:hAnsi="Times New Roman"/>
                <w:sz w:val="24"/>
                <w:szCs w:val="24"/>
              </w:rPr>
              <w:t xml:space="preserve">Запрос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дополнительных </w:t>
            </w:r>
            <w:r w:rsidRPr="00E25352">
              <w:rPr>
                <w:rFonts w:ascii="Times New Roman" w:hAnsi="Times New Roman"/>
                <w:sz w:val="24"/>
                <w:szCs w:val="24"/>
              </w:rPr>
              <w:t xml:space="preserve">документов помимо </w:t>
            </w:r>
            <w:r>
              <w:rPr>
                <w:rFonts w:ascii="Times New Roman" w:hAnsi="Times New Roman"/>
                <w:sz w:val="24"/>
                <w:szCs w:val="24"/>
              </w:rPr>
              <w:t>указа</w:t>
            </w:r>
            <w:r w:rsidRPr="00E25352">
              <w:rPr>
                <w:rFonts w:ascii="Times New Roman" w:hAnsi="Times New Roman"/>
                <w:sz w:val="24"/>
                <w:szCs w:val="24"/>
              </w:rPr>
              <w:t>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разделе 2 переводит процедуру признания в процедуру проверки деятельности </w:t>
            </w:r>
            <w:r w:rsidRPr="006F54DD">
              <w:rPr>
                <w:rFonts w:ascii="Times New Roman" w:hAnsi="Times New Roman"/>
                <w:sz w:val="24"/>
                <w:szCs w:val="24"/>
              </w:rPr>
              <w:t>национальн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F54DD"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F54DD">
              <w:rPr>
                <w:rFonts w:ascii="Times New Roman" w:hAnsi="Times New Roman"/>
                <w:sz w:val="24"/>
                <w:szCs w:val="24"/>
              </w:rPr>
              <w:t xml:space="preserve"> государства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F54DD">
              <w:rPr>
                <w:rFonts w:ascii="Times New Roman" w:hAnsi="Times New Roman"/>
                <w:sz w:val="24"/>
                <w:szCs w:val="24"/>
              </w:rPr>
              <w:t>на территории которого Заявитель осуществляет выпуск из производства средства измерений утвержденного типа</w:t>
            </w:r>
            <w:r>
              <w:rPr>
                <w:rFonts w:ascii="Times New Roman" w:hAnsi="Times New Roman"/>
                <w:sz w:val="24"/>
                <w:szCs w:val="24"/>
              </w:rPr>
              <w:t>, и аккредитованной испытательной лаборатории (центра).</w:t>
            </w:r>
          </w:p>
          <w:p w:rsidR="00BF2736" w:rsidRDefault="00BF2736" w:rsidP="00B61A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F2736" w:rsidRPr="002F62A0" w:rsidRDefault="00BF2736" w:rsidP="008E4C9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05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/>
                <w:sz w:val="24"/>
                <w:szCs w:val="24"/>
              </w:rPr>
              <w:t>. На совещании от 04.0</w:t>
            </w:r>
            <w:r w:rsidR="008E4C9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.2019 г. данны</w:t>
            </w:r>
            <w:r w:rsidR="008E4C93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пункт не </w:t>
            </w:r>
            <w:r w:rsidR="00405A35">
              <w:rPr>
                <w:rFonts w:ascii="Times New Roman" w:hAnsi="Times New Roman"/>
                <w:sz w:val="24"/>
                <w:szCs w:val="24"/>
              </w:rPr>
              <w:t>рассматривался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2736" w:rsidRPr="002F62A0" w:rsidTr="00FA539E">
        <w:tc>
          <w:tcPr>
            <w:tcW w:w="800" w:type="pct"/>
          </w:tcPr>
          <w:p w:rsidR="00BF2736" w:rsidRPr="002F62A0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BF2736" w:rsidRPr="002F62A0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62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96" w:type="pct"/>
          </w:tcPr>
          <w:p w:rsidR="00BF2736" w:rsidRPr="0007276C" w:rsidRDefault="00BF2736" w:rsidP="000727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2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Последнее предложение 2-го абзаца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п. 2.6 </w:t>
            </w:r>
            <w:r w:rsidR="005A20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рекомендуется исключить и привести в </w:t>
            </w:r>
            <w:r w:rsidRPr="00072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следующей редакции:</w:t>
            </w:r>
          </w:p>
          <w:p w:rsidR="00BF2736" w:rsidRPr="002F62A0" w:rsidRDefault="00BF2736" w:rsidP="005A20A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7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«За проведение повторной экспертизы плата не взимается</w:t>
            </w:r>
            <w:r w:rsidR="005A20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случае, если доработанные материалы были представлены в срок не позднее 3</w:t>
            </w:r>
            <w:r w:rsidRPr="000727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месяцев с даты получения </w:t>
            </w:r>
            <w:r w:rsidR="005A20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заключения </w:t>
            </w:r>
            <w:r w:rsidRPr="000727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метрологической экспертизы».</w:t>
            </w:r>
          </w:p>
        </w:tc>
        <w:tc>
          <w:tcPr>
            <w:tcW w:w="1405" w:type="pct"/>
          </w:tcPr>
          <w:p w:rsidR="00BF2736" w:rsidRDefault="00BF2736" w:rsidP="00957B56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845">
              <w:rPr>
                <w:rFonts w:ascii="Times New Roman" w:hAnsi="Times New Roman"/>
                <w:b/>
                <w:sz w:val="24"/>
                <w:szCs w:val="24"/>
              </w:rPr>
              <w:t>Отклонено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виду отсутствия обоснования. </w:t>
            </w:r>
          </w:p>
          <w:p w:rsidR="00BF2736" w:rsidRDefault="00BF2736" w:rsidP="00957B56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0A3" w:rsidRDefault="005A20A3" w:rsidP="00CB2EE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20A3" w:rsidRDefault="005A20A3" w:rsidP="00CB2EE1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2736" w:rsidRPr="0007276C" w:rsidRDefault="00BF2736" w:rsidP="008E4C9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05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/>
                <w:sz w:val="24"/>
                <w:szCs w:val="24"/>
              </w:rPr>
              <w:t>. На совещании от 04.0</w:t>
            </w:r>
            <w:r w:rsidR="008E4C9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.2019 г. данный пункт не </w:t>
            </w:r>
            <w:r w:rsidR="00405A35">
              <w:rPr>
                <w:rFonts w:ascii="Times New Roman" w:hAnsi="Times New Roman"/>
                <w:sz w:val="24"/>
                <w:szCs w:val="24"/>
              </w:rPr>
              <w:t>рассматривался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2736" w:rsidRPr="002F62A0" w:rsidTr="00FA539E">
        <w:tc>
          <w:tcPr>
            <w:tcW w:w="800" w:type="pct"/>
          </w:tcPr>
          <w:p w:rsidR="00BF2736" w:rsidRPr="002F62A0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BF2736" w:rsidRPr="002F62A0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62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6" w:type="pct"/>
          </w:tcPr>
          <w:p w:rsidR="00BF2736" w:rsidRPr="00150D14" w:rsidRDefault="00BF2736" w:rsidP="00150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Первый абзац п.2.7 привести в следующей редакции:</w:t>
            </w:r>
          </w:p>
          <w:p w:rsidR="00BF2736" w:rsidRDefault="00BF2736" w:rsidP="00150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«Исполнитель в срок, не превышающий десяти </w:t>
            </w:r>
            <w:r w:rsidRPr="00150D1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рабочих</w:t>
            </w: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дней со дня поступления оплаты </w:t>
            </w:r>
            <w:r w:rsidRPr="00150D1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и комплекта документов, согласно 2.3 настоящих правил, </w:t>
            </w: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Заявителя, проводит метрологическую </w:t>
            </w: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экспертизу результатов испытаний средства измерений утвержденного типа, получающих признание».</w:t>
            </w:r>
          </w:p>
          <w:p w:rsidR="00BF2736" w:rsidRPr="00150D14" w:rsidRDefault="00BF2736" w:rsidP="00150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A20A3" w:rsidRDefault="005A20A3" w:rsidP="00150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A20A3" w:rsidRDefault="005A20A3" w:rsidP="00150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A20A3" w:rsidRDefault="005A20A3" w:rsidP="00150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F2736" w:rsidRPr="00150D14" w:rsidRDefault="00BF2736" w:rsidP="00150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Последний абзац пункта изложить в следующей редакции:</w:t>
            </w:r>
          </w:p>
          <w:p w:rsidR="00BF2736" w:rsidRPr="002F62A0" w:rsidRDefault="00BF2736" w:rsidP="00150D1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«Исполнитель направляет в национальный орган </w:t>
            </w:r>
            <w:r w:rsidRPr="00150D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 заявителю</w:t>
            </w:r>
            <w:r w:rsidRPr="00150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заключение о результатах метрологической экспертизы с рекомендацией о признании (непризнании) результатов утверждения типа и первичной поверки средства измерений».</w:t>
            </w:r>
          </w:p>
        </w:tc>
        <w:tc>
          <w:tcPr>
            <w:tcW w:w="1405" w:type="pct"/>
          </w:tcPr>
          <w:p w:rsidR="00BF2736" w:rsidRDefault="00BF2736" w:rsidP="00150D1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963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Принято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части «</w:t>
            </w: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десяти </w:t>
            </w:r>
            <w:r w:rsidRPr="0009634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рабочих</w:t>
            </w:r>
            <w:r w:rsidRPr="00150D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дней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BF2736" w:rsidRDefault="00BF2736" w:rsidP="00150D1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Фраза «</w:t>
            </w:r>
            <w:r w:rsidRPr="00096347">
              <w:rPr>
                <w:rFonts w:ascii="Times New Roman" w:hAnsi="Times New Roman"/>
                <w:i/>
                <w:sz w:val="24"/>
                <w:szCs w:val="24"/>
              </w:rPr>
              <w:t>и комплекта документов согласно 2.3 настоящих правил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ставит Заявителя в зависимость по срокам исполнения заявки от взаимоотношений национального органа страны-импортера и его метрологического института.</w:t>
            </w:r>
          </w:p>
          <w:p w:rsidR="00BF2736" w:rsidRDefault="00BF2736" w:rsidP="00B474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F2736" w:rsidRPr="00096347" w:rsidRDefault="00BF2736" w:rsidP="00B474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096347">
              <w:rPr>
                <w:rFonts w:ascii="Times New Roman" w:hAnsi="Times New Roman"/>
                <w:b/>
                <w:sz w:val="24"/>
                <w:szCs w:val="24"/>
              </w:rPr>
              <w:t>Отклонено.</w:t>
            </w:r>
          </w:p>
          <w:p w:rsidR="00BF2736" w:rsidRDefault="008E4C93" w:rsidP="0009634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Данное предложение считаем избыточным, т.к. </w:t>
            </w:r>
            <w:r w:rsidR="00BF2736">
              <w:rPr>
                <w:rFonts w:ascii="Times New Roman" w:hAnsi="Times New Roman"/>
                <w:sz w:val="24"/>
                <w:szCs w:val="24"/>
              </w:rPr>
              <w:t xml:space="preserve">Заявитель заинтересован в получении конечного, а не промежуточного результата рассмотрения своей заявки. </w:t>
            </w:r>
          </w:p>
          <w:p w:rsidR="00BF2736" w:rsidRDefault="00BF2736" w:rsidP="0009634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0A3" w:rsidRDefault="005A20A3" w:rsidP="0009634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0A3" w:rsidRDefault="005A20A3" w:rsidP="0009634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2736" w:rsidRPr="002F62A0" w:rsidRDefault="00BF2736" w:rsidP="008E4C9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05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/>
                <w:sz w:val="24"/>
                <w:szCs w:val="24"/>
              </w:rPr>
              <w:t>. На совещании от 04.0</w:t>
            </w:r>
            <w:r w:rsidR="008E4C9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.2019 г. данные пункты не </w:t>
            </w:r>
            <w:r w:rsidR="00405A35">
              <w:rPr>
                <w:rFonts w:ascii="Times New Roman" w:hAnsi="Times New Roman"/>
                <w:sz w:val="24"/>
                <w:szCs w:val="24"/>
              </w:rPr>
              <w:t>рассматривались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2736" w:rsidRPr="002F62A0" w:rsidTr="00FA539E">
        <w:tc>
          <w:tcPr>
            <w:tcW w:w="800" w:type="pct"/>
          </w:tcPr>
          <w:p w:rsidR="00BF2736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BF2736" w:rsidRPr="002F62A0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96" w:type="pct"/>
          </w:tcPr>
          <w:p w:rsidR="00BF2736" w:rsidRPr="00AF7126" w:rsidRDefault="00BF2736" w:rsidP="00AF7126">
            <w:pPr>
              <w:spacing w:after="0" w:line="240" w:lineRule="auto"/>
              <w:ind w:hanging="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7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п. 2.8 слова «и (или)» заменить словами «и».</w:t>
            </w:r>
          </w:p>
          <w:p w:rsidR="00BF2736" w:rsidRPr="002F62A0" w:rsidRDefault="00BF2736" w:rsidP="00B474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C0419F" w:rsidRDefault="00BF2736" w:rsidP="00717C2E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  <w:r w:rsidR="008E4C9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8E4C93" w:rsidRDefault="008E4C93" w:rsidP="00717C2E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 2.8 абзац 5 изложить в редакции:</w:t>
            </w:r>
          </w:p>
          <w:p w:rsidR="00BF2736" w:rsidRDefault="008E4C93" w:rsidP="00717C2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E4C93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обоснованных случаях национальный орган может принять решение об отказе в признании утверждения типа и первичной поверки или первичной поверки. В этом случае национальный орган направляет соответствующее уведомление Заявителю с указанием причины отказа в признании. Представленные документы не возвращаются».</w:t>
            </w:r>
          </w:p>
          <w:p w:rsidR="00BF2736" w:rsidRDefault="00BF2736" w:rsidP="00717C2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F2736" w:rsidRPr="002F62A0" w:rsidRDefault="00BF2736" w:rsidP="00C0419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2B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Примечание</w:t>
            </w:r>
            <w:r w:rsidRPr="00DD02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На совещании от 04.0</w:t>
            </w:r>
            <w:r w:rsidR="00C0419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.2019 г. данный пункт не </w:t>
            </w:r>
            <w:r w:rsidR="00405A35">
              <w:rPr>
                <w:rFonts w:ascii="Times New Roman" w:hAnsi="Times New Roman"/>
                <w:sz w:val="24"/>
                <w:szCs w:val="24"/>
              </w:rPr>
              <w:t>рассматривался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2736" w:rsidRPr="002F62A0" w:rsidTr="00FA539E">
        <w:tc>
          <w:tcPr>
            <w:tcW w:w="800" w:type="pct"/>
          </w:tcPr>
          <w:p w:rsidR="00BF2736" w:rsidRPr="00B43289" w:rsidRDefault="00BF2736" w:rsidP="00B4328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</w:tcPr>
          <w:p w:rsidR="00BF2736" w:rsidRPr="00B43289" w:rsidRDefault="00BF2736" w:rsidP="00B4328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432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6" w:type="pct"/>
          </w:tcPr>
          <w:p w:rsidR="00BF2736" w:rsidRDefault="00AC4611" w:rsidP="00AC4611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п. 2.11 рекомендуется предусмотреть информацию о документах</w:t>
            </w:r>
            <w:r w:rsidR="00BF2736" w:rsidRPr="00B432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направляемых в случае внесения изменений в сведения о поверочной лаборатории, проводящей первичную поверку.</w:t>
            </w:r>
          </w:p>
          <w:p w:rsidR="00AC4611" w:rsidRDefault="00AC4611" w:rsidP="00AC4611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419F" w:rsidRDefault="00C0419F" w:rsidP="00AC46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419F" w:rsidRDefault="00C0419F" w:rsidP="00AC46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419F" w:rsidRDefault="00C0419F" w:rsidP="00AC46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419F" w:rsidRDefault="00C0419F" w:rsidP="00AC46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C4611" w:rsidRPr="00717C2E" w:rsidRDefault="00AC4611" w:rsidP="00AC46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7C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Последний абзац п.2.11 привести в следующей редакции:</w:t>
            </w:r>
            <w:r w:rsidRPr="00717C2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AC4611" w:rsidRPr="00B43289" w:rsidRDefault="00AC4611" w:rsidP="00AC4611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C2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9E687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Работы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, связанные с процедурой</w:t>
            </w:r>
            <w:r w:rsidRPr="009E687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внесени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я</w:t>
            </w:r>
            <w:r w:rsidRPr="009E687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изменений в методику поверки и (или) изменения интервала между поверками проводятся в соответствии с положениями п. 2.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</w:t>
            </w:r>
            <w:r w:rsidRPr="009E687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настоящих правил. Взимание платы, связанной с изм</w:t>
            </w:r>
            <w:r w:rsidRPr="00717C2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енениями сведений о поверочной лаборатории, проводящей первичную поверку, не предусмотрено</w:t>
            </w:r>
            <w:r w:rsidRPr="00717C2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05" w:type="pct"/>
          </w:tcPr>
          <w:p w:rsidR="00BF2736" w:rsidRDefault="00C0419F" w:rsidP="00B8152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Указанные документы в соответствии с п.2.11 перечислены в Приложении Б.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  <w:r w:rsidR="00BF2736" w:rsidRPr="001542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0419F" w:rsidRPr="00C0419F" w:rsidRDefault="00C0419F" w:rsidP="00B8152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19F">
              <w:rPr>
                <w:rFonts w:ascii="Times New Roman" w:hAnsi="Times New Roman"/>
                <w:sz w:val="24"/>
                <w:szCs w:val="24"/>
              </w:rPr>
              <w:t>П. 2.11, первое предложение после фразы «…согласно Приложению Б» дополнить фразой «, с прилагаемыми к ней документами».</w:t>
            </w:r>
          </w:p>
          <w:p w:rsidR="00BF2736" w:rsidRDefault="00BF2736" w:rsidP="00B8152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4611" w:rsidRPr="00004249" w:rsidRDefault="00AC4611" w:rsidP="00AC4611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49">
              <w:rPr>
                <w:rFonts w:ascii="Times New Roman" w:hAnsi="Times New Roman"/>
                <w:b/>
                <w:sz w:val="24"/>
                <w:szCs w:val="24"/>
              </w:rPr>
              <w:t>Отклонено.</w:t>
            </w:r>
          </w:p>
          <w:p w:rsidR="00BF2736" w:rsidRDefault="00AC4611" w:rsidP="00B8152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Данное требование считаем избыточным и не обоснованным. Кроме того, в предлагаемой разработчиком редакции п. 2.11 поддержали все остальные страны - участники обсуждения</w:t>
            </w:r>
          </w:p>
          <w:p w:rsidR="00AC4611" w:rsidRDefault="00AC4611" w:rsidP="00B8152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2736" w:rsidRPr="002F62A0" w:rsidRDefault="00BF2736" w:rsidP="00C0419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2C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r w:rsidRPr="00154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На совещании от 04.0</w:t>
            </w:r>
            <w:r w:rsidR="00C0419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.2019 г. данный пункт не </w:t>
            </w:r>
            <w:r w:rsidR="00405A35">
              <w:rPr>
                <w:rFonts w:ascii="Times New Roman" w:hAnsi="Times New Roman"/>
                <w:sz w:val="24"/>
                <w:szCs w:val="24"/>
              </w:rPr>
              <w:t>рассматривался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2736" w:rsidRPr="002F62A0" w:rsidTr="00FA539E">
        <w:tc>
          <w:tcPr>
            <w:tcW w:w="800" w:type="pct"/>
          </w:tcPr>
          <w:p w:rsidR="00BF2736" w:rsidRPr="00717C2E" w:rsidRDefault="00BF2736" w:rsidP="00583D47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</w:tcPr>
          <w:p w:rsidR="00BF2736" w:rsidRPr="00717C2E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7C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6" w:type="pct"/>
          </w:tcPr>
          <w:p w:rsidR="00BF2736" w:rsidRDefault="00AC4611" w:rsidP="00717C2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2.12 дополнить абзацем следующего содержания:</w:t>
            </w:r>
          </w:p>
          <w:p w:rsidR="00AC4611" w:rsidRPr="00AC4611" w:rsidRDefault="00AC4611" w:rsidP="00C0419F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C4611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Взимание платы за изме</w:t>
            </w:r>
            <w:r w:rsidR="00C0419F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ение наименования изготовителя или его формы собственности не предусмотрено» </w:t>
            </w:r>
          </w:p>
        </w:tc>
        <w:tc>
          <w:tcPr>
            <w:tcW w:w="1405" w:type="pct"/>
          </w:tcPr>
          <w:p w:rsidR="00AC4611" w:rsidRDefault="00C0419F" w:rsidP="00004249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Принято.</w:t>
            </w:r>
          </w:p>
          <w:p w:rsidR="00AC4611" w:rsidRDefault="00AC4611" w:rsidP="00004249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611" w:rsidRDefault="00AC4611" w:rsidP="00004249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2736" w:rsidRPr="002F62A0" w:rsidRDefault="00BF2736" w:rsidP="00C0419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4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r w:rsidRPr="000042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На совещании от 04.0</w:t>
            </w:r>
            <w:r w:rsidR="00C0419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.2019 г. данный пункт не </w:t>
            </w:r>
            <w:r w:rsidR="00405A35">
              <w:rPr>
                <w:rFonts w:ascii="Times New Roman" w:hAnsi="Times New Roman"/>
                <w:sz w:val="24"/>
                <w:szCs w:val="24"/>
              </w:rPr>
              <w:t>рассматривался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2736" w:rsidRPr="002F62A0" w:rsidTr="00FA539E">
        <w:trPr>
          <w:trHeight w:val="841"/>
        </w:trPr>
        <w:tc>
          <w:tcPr>
            <w:tcW w:w="800" w:type="pct"/>
          </w:tcPr>
          <w:p w:rsidR="00BF2736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BF2736" w:rsidRDefault="00BF2736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40A08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0A08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0A08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0A08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0A08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0A08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  <w:p w:rsidR="00C40A08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0A08" w:rsidRPr="002F62A0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BF2736" w:rsidRDefault="00BF2736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D65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п.2.13 в 3-м перечислении исключить слова «</w:t>
            </w:r>
            <w:r w:rsidRPr="00ED655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или копию заключения метрологической экспертизы конструкторской и (или технологической) документации, в соответствии с требованиями национального законодательства в сфере обеспечения единства измерений».</w:t>
            </w:r>
          </w:p>
          <w:p w:rsidR="00BF2736" w:rsidRPr="00ED6558" w:rsidRDefault="00BF2736" w:rsidP="00B474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2736" w:rsidRPr="00ED6558" w:rsidRDefault="00BF2736" w:rsidP="00B474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0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перечислении б) приложения И «</w:t>
            </w:r>
            <w:r w:rsidRPr="005740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Форма заявки на продление признания утверждения типа и первичной поверки средства измерений</w:t>
            </w:r>
            <w:r w:rsidRPr="005740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исключить слова </w:t>
            </w:r>
            <w:r w:rsidRPr="005740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5740D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или копия заключения метрологической экспертизы конструкторской и (или технологической) документации, оформленные в соответствии с национальным законодательством</w:t>
            </w:r>
            <w:r w:rsidRPr="005740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  <w:r w:rsidRPr="005740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5" w:type="pct"/>
          </w:tcPr>
          <w:p w:rsidR="00BF2736" w:rsidRPr="00D83710" w:rsidRDefault="00BF2736" w:rsidP="00B474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8371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Отклонено.</w:t>
            </w:r>
          </w:p>
          <w:p w:rsidR="00BF2736" w:rsidRDefault="00BF2736" w:rsidP="00D83710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710">
              <w:rPr>
                <w:rFonts w:ascii="Times New Roman" w:hAnsi="Times New Roman"/>
                <w:sz w:val="24"/>
                <w:szCs w:val="24"/>
              </w:rPr>
              <w:t>Данное требование считаем не обоснованным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 предлагаемой редакции противоречит статье 3 </w:t>
            </w:r>
            <w:r w:rsidRPr="00704624">
              <w:rPr>
                <w:rFonts w:ascii="Times New Roman" w:hAnsi="Times New Roman"/>
                <w:sz w:val="24"/>
                <w:szCs w:val="24"/>
              </w:rPr>
              <w:t xml:space="preserve">Соглашения о взаимном признании результатов испытаний с целью </w:t>
            </w:r>
            <w:r w:rsidRPr="007046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утверждения типа, метрологической аттестации, поверки и калибровки средств измерений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Бурабай</w:t>
            </w:r>
            <w:proofErr w:type="spellEnd"/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, 29 мая 2015 года)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«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Признание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испытаний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целью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утверждения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типа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утверждения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типа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измерений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осуществляется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уполномоченными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органами по метрологии (обеспечению единства измерений) Сторон при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соблюдении следующих условий: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испытания средств измерений, тип которых утвержден, проведены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 xml:space="preserve">в имеющих полномочия </w:t>
            </w:r>
            <w:r w:rsidRPr="00704624">
              <w:rPr>
                <w:rFonts w:ascii="Times New Roman" w:hAnsi="Times New Roman"/>
                <w:b/>
                <w:bCs/>
                <w:sz w:val="24"/>
                <w:szCs w:val="24"/>
              </w:rPr>
              <w:t>в соответствии с национальным законодательством</w:t>
            </w:r>
            <w:r w:rsidRPr="00704624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 и </w:t>
            </w:r>
            <w:r>
              <w:rPr>
                <w:rFonts w:ascii="Times New Roman" w:hAnsi="Times New Roman"/>
                <w:sz w:val="24"/>
                <w:szCs w:val="24"/>
              </w:rPr>
              <w:t>национальному законодательству РФ в области обеспечения единства измерений.</w:t>
            </w:r>
          </w:p>
          <w:p w:rsidR="00BF2736" w:rsidRPr="002F62A0" w:rsidRDefault="00BF2736" w:rsidP="00B474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A08" w:rsidRPr="002F62A0" w:rsidTr="00FA539E">
        <w:trPr>
          <w:trHeight w:val="1018"/>
        </w:trPr>
        <w:tc>
          <w:tcPr>
            <w:tcW w:w="800" w:type="pct"/>
          </w:tcPr>
          <w:p w:rsidR="00C40A08" w:rsidRDefault="00C40A08" w:rsidP="00C40A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Таджикстандарт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(исх. от 21.08.2019 № 01-1374)</w:t>
            </w:r>
          </w:p>
        </w:tc>
        <w:tc>
          <w:tcPr>
            <w:tcW w:w="298" w:type="pct"/>
          </w:tcPr>
          <w:p w:rsidR="00C40A08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C40A08" w:rsidRPr="00ED6558" w:rsidRDefault="00C40A08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пункту 2.4 – в соответствии с п. 4.12.2 ГОСТ 1.5-2001 привести полное наименование международных организаций, сокращенный в аббревиатурах МОЗМ и МКМВ</w:t>
            </w:r>
          </w:p>
        </w:tc>
        <w:tc>
          <w:tcPr>
            <w:tcW w:w="1405" w:type="pct"/>
          </w:tcPr>
          <w:p w:rsidR="00C40A08" w:rsidRPr="00405A35" w:rsidRDefault="00405A35" w:rsidP="00B474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05A35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405A35">
              <w:rPr>
                <w:rFonts w:ascii="Times New Roman" w:hAnsi="Times New Roman"/>
                <w:sz w:val="24"/>
                <w:szCs w:val="24"/>
              </w:rPr>
              <w:t>замечание носит редакционный характер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C40A08" w:rsidRPr="002F62A0" w:rsidTr="00FA539E">
        <w:trPr>
          <w:trHeight w:val="1018"/>
        </w:trPr>
        <w:tc>
          <w:tcPr>
            <w:tcW w:w="800" w:type="pct"/>
          </w:tcPr>
          <w:p w:rsidR="00C40A08" w:rsidRDefault="00C40A08" w:rsidP="00C40A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C40A08" w:rsidRDefault="00C40A08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C40A08" w:rsidRDefault="00C40A08" w:rsidP="00BC07D7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пункту 2.</w:t>
            </w:r>
            <w:r w:rsidR="00BC07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после слов «не превышающий десяти рабочих» дополнить словом «дней»</w:t>
            </w:r>
          </w:p>
        </w:tc>
        <w:tc>
          <w:tcPr>
            <w:tcW w:w="1405" w:type="pct"/>
          </w:tcPr>
          <w:p w:rsidR="00C40A08" w:rsidRPr="00405A35" w:rsidRDefault="00405A35" w:rsidP="00405A35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05A35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405A35">
              <w:rPr>
                <w:rFonts w:ascii="Times New Roman" w:hAnsi="Times New Roman"/>
                <w:sz w:val="24"/>
                <w:szCs w:val="24"/>
              </w:rPr>
              <w:t>замечание носит редакционный характер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C07D7" w:rsidRPr="002F62A0" w:rsidTr="00FA539E">
        <w:trPr>
          <w:trHeight w:val="1018"/>
        </w:trPr>
        <w:tc>
          <w:tcPr>
            <w:tcW w:w="800" w:type="pct"/>
          </w:tcPr>
          <w:p w:rsidR="00BC07D7" w:rsidRDefault="00BC07D7" w:rsidP="00C40A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BC07D7" w:rsidRDefault="00BC07D7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BC07D7" w:rsidRDefault="00BC07D7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пункту 2.8 </w:t>
            </w:r>
          </w:p>
          <w:p w:rsidR="00BC07D7" w:rsidRDefault="00BC07D7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абзац первый, слова «10 рабочих дней» заменить на «десять рабочих дней» по аналогии, приведенной в пунктах 2.4, 2.6, 2.7, 2.11, 2.13</w:t>
            </w:r>
          </w:p>
          <w:p w:rsidR="00BC07D7" w:rsidRDefault="00BC07D7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абзац второй изложить в следующей редакции :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 средств измерений устанавливается в соответствии с законодательством государства-участника Соглашения национальный орган, которого осуществляет признание результатов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испытаний с целью утверждения типа, метрологической аттестации, первичной поверки средств измерений»</w:t>
            </w:r>
          </w:p>
        </w:tc>
        <w:tc>
          <w:tcPr>
            <w:tcW w:w="1405" w:type="pct"/>
          </w:tcPr>
          <w:p w:rsidR="00BC07D7" w:rsidRDefault="00405A35" w:rsidP="00C0419F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05A3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Принято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0419F">
              <w:rPr>
                <w:rFonts w:ascii="Times New Roman" w:hAnsi="Times New Roman"/>
                <w:b/>
                <w:sz w:val="24"/>
                <w:szCs w:val="24"/>
              </w:rPr>
              <w:t>в редакции:</w:t>
            </w:r>
          </w:p>
          <w:p w:rsidR="00C0419F" w:rsidRDefault="00C0419F" w:rsidP="00C0419F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543A18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543A18">
              <w:rPr>
                <w:rFonts w:ascii="Times New Roman" w:hAnsi="Times New Roman"/>
                <w:sz w:val="24"/>
                <w:szCs w:val="24"/>
              </w:rPr>
              <w:t xml:space="preserve"> интервал средств измерений устанавливается в соответствии с национальным законодательством национального органа, признающего результаты испытаний с целью утверждения</w:t>
            </w:r>
            <w:r w:rsidR="00543A18" w:rsidRPr="00543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A18" w:rsidRPr="00543A18">
              <w:rPr>
                <w:rFonts w:ascii="Times New Roman" w:hAnsi="Times New Roman"/>
                <w:sz w:val="24"/>
                <w:szCs w:val="24"/>
              </w:rPr>
              <w:lastRenderedPageBreak/>
              <w:t>типа, метрологической аттестации, первичной поверки средств измерений</w:t>
            </w:r>
            <w:r w:rsidR="00543A1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C07D7" w:rsidRPr="002F62A0" w:rsidTr="00FA539E">
        <w:trPr>
          <w:trHeight w:val="1018"/>
        </w:trPr>
        <w:tc>
          <w:tcPr>
            <w:tcW w:w="800" w:type="pct"/>
          </w:tcPr>
          <w:p w:rsidR="00BC07D7" w:rsidRDefault="00BC07D7" w:rsidP="00C40A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BC07D7" w:rsidRDefault="00BC07D7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BC07D7" w:rsidRDefault="00A54953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п. 2.9 – первое перечисление закончить словами «конструктивные изменения, которого не повлияли на его основные технические и метрологические характеристики»</w:t>
            </w:r>
          </w:p>
        </w:tc>
        <w:tc>
          <w:tcPr>
            <w:tcW w:w="1405" w:type="pct"/>
          </w:tcPr>
          <w:p w:rsidR="00BC07D7" w:rsidRPr="00B858AC" w:rsidRDefault="00B858AC" w:rsidP="00B474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858AC">
              <w:rPr>
                <w:rFonts w:ascii="Times New Roman" w:hAnsi="Times New Roman"/>
                <w:b/>
                <w:sz w:val="24"/>
                <w:szCs w:val="24"/>
              </w:rPr>
              <w:t>Отклонить, т.к. по сути перефразирование, не меняющее сути</w:t>
            </w:r>
          </w:p>
        </w:tc>
      </w:tr>
      <w:tr w:rsidR="00A54953" w:rsidRPr="002F62A0" w:rsidTr="00FA539E">
        <w:trPr>
          <w:trHeight w:val="562"/>
        </w:trPr>
        <w:tc>
          <w:tcPr>
            <w:tcW w:w="800" w:type="pct"/>
          </w:tcPr>
          <w:p w:rsidR="00A54953" w:rsidRDefault="00A54953" w:rsidP="00C40A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A54953" w:rsidRDefault="00A54953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A54953" w:rsidRPr="00FA539E" w:rsidRDefault="00A54953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53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п. 2.15 – в соответствии с п. 23.2 Протокола МГС № 55-2019 от 28 июня 2019 г. слова «в национальный орган государства-участника Соглашения» заменить на «в Бюро по стандартам Межгосударственного совета по стандартизации, метрологии и сертификации»</w:t>
            </w:r>
          </w:p>
        </w:tc>
        <w:tc>
          <w:tcPr>
            <w:tcW w:w="1405" w:type="pct"/>
          </w:tcPr>
          <w:p w:rsidR="00457657" w:rsidRPr="00FA539E" w:rsidRDefault="00B858AC" w:rsidP="00B474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A539E">
              <w:rPr>
                <w:rFonts w:ascii="Times New Roman" w:hAnsi="Times New Roman"/>
                <w:b/>
                <w:sz w:val="24"/>
                <w:szCs w:val="24"/>
              </w:rPr>
              <w:t>Принято, п. 2.15 изложен в редакции</w:t>
            </w:r>
          </w:p>
          <w:p w:rsidR="00A54953" w:rsidRPr="00FA539E" w:rsidRDefault="00457657" w:rsidP="00B858AC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A539E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FA539E">
              <w:rPr>
                <w:rFonts w:ascii="Times New Roman" w:hAnsi="Times New Roman"/>
                <w:bCs/>
                <w:sz w:val="24"/>
                <w:szCs w:val="24"/>
              </w:rPr>
              <w:t>2.15 Национальный орган ежегодно, в срок не позднее окончания первого квартала, направляет в национальный орган государства – участника Соглашения и в Бюро по стандартам Межгосударственного совета по стандартизации</w:t>
            </w:r>
            <w:r w:rsidR="00FF4E24" w:rsidRPr="00FA539E">
              <w:rPr>
                <w:rFonts w:ascii="Times New Roman" w:hAnsi="Times New Roman"/>
                <w:bCs/>
                <w:sz w:val="24"/>
                <w:szCs w:val="24"/>
              </w:rPr>
              <w:t xml:space="preserve">, метрологии и сертификации </w:t>
            </w:r>
            <w:r w:rsidRPr="00FA539E">
              <w:rPr>
                <w:rFonts w:ascii="Times New Roman" w:hAnsi="Times New Roman"/>
                <w:bCs/>
                <w:sz w:val="24"/>
                <w:szCs w:val="24"/>
              </w:rPr>
              <w:t>сведения о средствах измерений, в отношении которых были приняты</w:t>
            </w:r>
            <w:r w:rsidRPr="00FA5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A539E">
              <w:rPr>
                <w:rFonts w:ascii="Times New Roman" w:hAnsi="Times New Roman"/>
                <w:bCs/>
                <w:sz w:val="24"/>
                <w:szCs w:val="24"/>
              </w:rPr>
              <w:t>решения о признании утверждения типа и первичной поверки</w:t>
            </w:r>
            <w:r w:rsidRPr="00FA539E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5405C" w:rsidRPr="002F62A0" w:rsidTr="00FA539E">
        <w:trPr>
          <w:trHeight w:val="1018"/>
        </w:trPr>
        <w:tc>
          <w:tcPr>
            <w:tcW w:w="800" w:type="pct"/>
          </w:tcPr>
          <w:p w:rsidR="0095405C" w:rsidRDefault="0095405C" w:rsidP="00C40A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Госстандарт Республики Беларусь (исх. от 16.09.2019 г. № 03-18/1421</w:t>
            </w:r>
          </w:p>
        </w:tc>
        <w:tc>
          <w:tcPr>
            <w:tcW w:w="298" w:type="pct"/>
          </w:tcPr>
          <w:p w:rsidR="0095405C" w:rsidRDefault="0095405C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95405C" w:rsidRDefault="0095405C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всему тексту проекта ПМГ 06 заменить определение термина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прослеживаемость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на «метрологическую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прослеживаемость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05" w:type="pct"/>
            <w:vMerge w:val="restart"/>
          </w:tcPr>
          <w:p w:rsidR="0095405C" w:rsidRPr="00040994" w:rsidRDefault="0095405C" w:rsidP="00B474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040994">
              <w:rPr>
                <w:rFonts w:ascii="Times New Roman" w:hAnsi="Times New Roman"/>
                <w:b/>
                <w:sz w:val="24"/>
                <w:szCs w:val="24"/>
              </w:rPr>
              <w:t>Отклонено.</w:t>
            </w:r>
          </w:p>
          <w:p w:rsidR="0095405C" w:rsidRPr="00040994" w:rsidRDefault="0095405C" w:rsidP="00B474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Замечания выданы по пунктам проекта ПМГ 06, ранее согласованным Госстандартом Республики Беларусь. Также отмечаем, что </w:t>
            </w:r>
            <w:r w:rsidR="00D46027">
              <w:rPr>
                <w:rFonts w:ascii="Times New Roman" w:hAnsi="Times New Roman"/>
                <w:sz w:val="24"/>
                <w:szCs w:val="24"/>
              </w:rPr>
              <w:t>внесение изменений в ранее согласованный документ противоречит порядку голосования МГС</w:t>
            </w:r>
          </w:p>
        </w:tc>
      </w:tr>
      <w:tr w:rsidR="0095405C" w:rsidRPr="002F62A0" w:rsidTr="00FA539E">
        <w:trPr>
          <w:trHeight w:val="1018"/>
        </w:trPr>
        <w:tc>
          <w:tcPr>
            <w:tcW w:w="800" w:type="pct"/>
          </w:tcPr>
          <w:p w:rsidR="0095405C" w:rsidRDefault="0095405C" w:rsidP="00C40A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95405C" w:rsidRDefault="0095405C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95405C" w:rsidRDefault="0095405C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 2.3</w:t>
            </w:r>
          </w:p>
          <w:p w:rsidR="0095405C" w:rsidRDefault="0095405C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«копии протоколов испытаний (отчета об испытаниях)» дополнить «по запросу»;</w:t>
            </w:r>
          </w:p>
          <w:p w:rsidR="0095405C" w:rsidRDefault="0095405C" w:rsidP="00F24649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Дополнить перечислением «- копия аттестата аккредитации, выписка из области аккредитации и шифр используемых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поверительных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клейм, в случае признания результатов поверки».</w:t>
            </w:r>
          </w:p>
        </w:tc>
        <w:tc>
          <w:tcPr>
            <w:tcW w:w="1405" w:type="pct"/>
            <w:vMerge/>
          </w:tcPr>
          <w:p w:rsidR="0095405C" w:rsidRDefault="0095405C" w:rsidP="00B47404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5405C" w:rsidRPr="002F62A0" w:rsidTr="00FA539E">
        <w:trPr>
          <w:trHeight w:val="1018"/>
        </w:trPr>
        <w:tc>
          <w:tcPr>
            <w:tcW w:w="800" w:type="pct"/>
          </w:tcPr>
          <w:p w:rsidR="0095405C" w:rsidRDefault="0095405C" w:rsidP="00C40A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95405C" w:rsidRDefault="0095405C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95405C" w:rsidRPr="00772431" w:rsidRDefault="0095405C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 2.4 заменить во втором перечислении «средства измерений» на «измерительное оборудование»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ISO</w:t>
            </w:r>
            <w:r w:rsidRPr="007724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IEC</w:t>
            </w:r>
            <w:r w:rsidRPr="007724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17025)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или «средства измерительной техники» (РМГ 29-2013).</w:t>
            </w:r>
          </w:p>
        </w:tc>
        <w:tc>
          <w:tcPr>
            <w:tcW w:w="1405" w:type="pct"/>
            <w:vMerge/>
          </w:tcPr>
          <w:p w:rsidR="0095405C" w:rsidRDefault="0095405C" w:rsidP="00B47404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5405C" w:rsidRPr="002F62A0" w:rsidTr="00FA539E">
        <w:trPr>
          <w:trHeight w:val="1018"/>
        </w:trPr>
        <w:tc>
          <w:tcPr>
            <w:tcW w:w="800" w:type="pct"/>
          </w:tcPr>
          <w:p w:rsidR="0095405C" w:rsidRDefault="0095405C" w:rsidP="00C40A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95405C" w:rsidRDefault="0095405C" w:rsidP="00583D4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95405C" w:rsidRDefault="0095405C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Пункт 2.7 </w:t>
            </w:r>
          </w:p>
          <w:p w:rsidR="0095405C" w:rsidRDefault="0095405C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 экспертизы установить 30 календарных дней вместо 10 календарных дней;</w:t>
            </w:r>
          </w:p>
          <w:p w:rsidR="0095405C" w:rsidRDefault="0095405C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также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как и в п. 2.4 вместо «эталонов» использовать более широкое понятие, например «эталон единицы величины или иная основа для сравнения»;</w:t>
            </w:r>
          </w:p>
          <w:p w:rsidR="0095405C" w:rsidRDefault="0095405C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третье перечисление изложить в редакции «программа испытаний предусматривает проверку всех метрологических и технических характеристик, указанных в описании типа»;</w:t>
            </w:r>
          </w:p>
          <w:p w:rsidR="0095405C" w:rsidRDefault="0095405C" w:rsidP="00B47404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дополнить перечислением «-наличие документов, подтверждающих рекомендуемый изготовителем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интервал», тоже добавить в п. 2.14 и Приложение И.</w:t>
            </w:r>
          </w:p>
        </w:tc>
        <w:tc>
          <w:tcPr>
            <w:tcW w:w="1405" w:type="pct"/>
            <w:vMerge/>
          </w:tcPr>
          <w:p w:rsidR="0095405C" w:rsidRDefault="0095405C" w:rsidP="00B47404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5405C" w:rsidRPr="002F62A0" w:rsidTr="00FA539E">
        <w:trPr>
          <w:trHeight w:val="1018"/>
        </w:trPr>
        <w:tc>
          <w:tcPr>
            <w:tcW w:w="800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95405C" w:rsidRDefault="0095405C" w:rsidP="0095405C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Пункт 2.8 второй абзац изложить в редакции «Для применений средств измерений в сфере государственного регулирования (законодательной метрологии) документы, подтверждающие состоятельность заявленного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интервала, должны быть подготовлены уполномоченной испытательной лабораторией или при ее непосредственном участии. Для применений средств измерений вне сферы государственного регулирования документы могут быть подготовлены самим изготовителем. Для расчета первичного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интервала или корректировки уже установленного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интервала рекомендуется использовать положения РМГ 74 или национальные стандарты, разработанные на его основе. При отсутствии указанных документов или их недостаточности для принятия решения, уполномоченный орган устанавливает заявленный изготовителем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 только для применений средства измерений вне сферы государственного регулирования, а для применений в сфере государственного регулирования устанавливает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 в соответствии с национальным законодательством.</w:t>
            </w:r>
          </w:p>
          <w:p w:rsidR="0095405C" w:rsidRDefault="0095405C" w:rsidP="0095405C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Межповерочный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 для применений средств измерений в сфере государственного регулирования не может превышать интервал, установленный национальным законодательством для группы средств измерений, в которую попадает признаваемый тип средства измерений (при наличии).</w:t>
            </w:r>
          </w:p>
        </w:tc>
        <w:tc>
          <w:tcPr>
            <w:tcW w:w="1405" w:type="pct"/>
            <w:vMerge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5405C" w:rsidRPr="002F62A0" w:rsidTr="00FA539E">
        <w:trPr>
          <w:trHeight w:val="1018"/>
        </w:trPr>
        <w:tc>
          <w:tcPr>
            <w:tcW w:w="800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95405C" w:rsidRDefault="0095405C" w:rsidP="0095405C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А</w:t>
            </w:r>
          </w:p>
          <w:p w:rsidR="0095405C" w:rsidRDefault="0095405C" w:rsidP="0095405C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дополнить перечислением «- документы, подтверждающие рекомендуемый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интервал»</w:t>
            </w:r>
          </w:p>
          <w:p w:rsidR="0095405C" w:rsidRDefault="0095405C" w:rsidP="0095405C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перечисление г) дополнить «при необходимости»</w:t>
            </w:r>
          </w:p>
          <w:p w:rsidR="0095405C" w:rsidRDefault="0095405C" w:rsidP="0095405C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перечисление д) считаем излишним, поскольку эта информация дается в свидетельстве о поверке. Если вопрос о признании поверки не стоит, то эта информация вообще не нужна.</w:t>
            </w:r>
          </w:p>
        </w:tc>
        <w:tc>
          <w:tcPr>
            <w:tcW w:w="1405" w:type="pct"/>
            <w:vMerge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5405C" w:rsidRPr="002F62A0" w:rsidTr="00FA539E">
        <w:trPr>
          <w:trHeight w:val="1018"/>
        </w:trPr>
        <w:tc>
          <w:tcPr>
            <w:tcW w:w="800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95405C" w:rsidRDefault="0095405C" w:rsidP="0095405C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Б с учетом замечаний к Приложению А считаем необходимым удалить</w:t>
            </w:r>
          </w:p>
        </w:tc>
        <w:tc>
          <w:tcPr>
            <w:tcW w:w="1405" w:type="pct"/>
            <w:vMerge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5405C" w:rsidRPr="002F62A0" w:rsidTr="00FA539E">
        <w:trPr>
          <w:trHeight w:val="1018"/>
        </w:trPr>
        <w:tc>
          <w:tcPr>
            <w:tcW w:w="800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95405C" w:rsidRDefault="0095405C" w:rsidP="0095405C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Приложение В дополнить перечислением «- документы, подтверждающие изменение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интервала, если имеется»</w:t>
            </w:r>
          </w:p>
        </w:tc>
        <w:tc>
          <w:tcPr>
            <w:tcW w:w="1405" w:type="pct"/>
            <w:vMerge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5405C" w:rsidRPr="002F62A0" w:rsidTr="00FA539E">
        <w:trPr>
          <w:trHeight w:val="1018"/>
        </w:trPr>
        <w:tc>
          <w:tcPr>
            <w:tcW w:w="800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pct"/>
          </w:tcPr>
          <w:p w:rsidR="0095405C" w:rsidRDefault="0095405C" w:rsidP="0095405C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Приложение Д необходимо удалить. Оно не несет никакой смысловой нагрузки без документов, подтверждающих принятый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межповерочный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интервал. Требование предоставлять соответствующую информацию изложено в п. 2.4. Отдельных заявлений не требуется, поскольку данный вопрос рассматривается в контексте изменений описания типа (п. 2.11).</w:t>
            </w:r>
          </w:p>
        </w:tc>
        <w:tc>
          <w:tcPr>
            <w:tcW w:w="1405" w:type="pct"/>
            <w:vMerge/>
          </w:tcPr>
          <w:p w:rsidR="0095405C" w:rsidRDefault="0095405C" w:rsidP="0095405C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D10086" w:rsidRPr="00C01E83" w:rsidRDefault="00D10086" w:rsidP="00C01E83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sectPr w:rsidR="00D10086" w:rsidRPr="00C01E83" w:rsidSect="00FA53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E78" w:rsidRDefault="00021E78" w:rsidP="00FA539E">
      <w:pPr>
        <w:spacing w:after="0" w:line="240" w:lineRule="auto"/>
      </w:pPr>
      <w:r>
        <w:separator/>
      </w:r>
    </w:p>
  </w:endnote>
  <w:endnote w:type="continuationSeparator" w:id="0">
    <w:p w:rsidR="00021E78" w:rsidRDefault="00021E78" w:rsidP="00FA5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8E8" w:rsidRDefault="00EF08E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8E8" w:rsidRDefault="00EF08E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8E8" w:rsidRDefault="00EF08E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E78" w:rsidRDefault="00021E78" w:rsidP="00FA539E">
      <w:pPr>
        <w:spacing w:after="0" w:line="240" w:lineRule="auto"/>
      </w:pPr>
      <w:r>
        <w:separator/>
      </w:r>
    </w:p>
  </w:footnote>
  <w:footnote w:type="continuationSeparator" w:id="0">
    <w:p w:rsidR="00021E78" w:rsidRDefault="00021E78" w:rsidP="00FA5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8E8" w:rsidRDefault="00EF08E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21270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A539E" w:rsidRPr="00FA539E" w:rsidRDefault="00FA539E">
        <w:pPr>
          <w:pStyle w:val="a8"/>
          <w:jc w:val="center"/>
          <w:rPr>
            <w:rFonts w:ascii="Times New Roman" w:hAnsi="Times New Roman"/>
          </w:rPr>
        </w:pPr>
        <w:r w:rsidRPr="00FA539E">
          <w:rPr>
            <w:rFonts w:ascii="Times New Roman" w:hAnsi="Times New Roman"/>
          </w:rPr>
          <w:fldChar w:fldCharType="begin"/>
        </w:r>
        <w:r w:rsidRPr="00FA539E">
          <w:rPr>
            <w:rFonts w:ascii="Times New Roman" w:hAnsi="Times New Roman"/>
          </w:rPr>
          <w:instrText>PAGE   \* MERGEFORMAT</w:instrText>
        </w:r>
        <w:r w:rsidRPr="00FA539E">
          <w:rPr>
            <w:rFonts w:ascii="Times New Roman" w:hAnsi="Times New Roman"/>
          </w:rPr>
          <w:fldChar w:fldCharType="separate"/>
        </w:r>
        <w:r w:rsidR="00BD0059">
          <w:rPr>
            <w:rFonts w:ascii="Times New Roman" w:hAnsi="Times New Roman"/>
            <w:noProof/>
          </w:rPr>
          <w:t>8</w:t>
        </w:r>
        <w:r w:rsidRPr="00FA539E">
          <w:rPr>
            <w:rFonts w:ascii="Times New Roman" w:hAnsi="Times New Roman"/>
          </w:rPr>
          <w:fldChar w:fldCharType="end"/>
        </w:r>
      </w:p>
    </w:sdtContent>
  </w:sdt>
  <w:p w:rsidR="00FA539E" w:rsidRPr="00FA539E" w:rsidRDefault="00FA539E" w:rsidP="00FA539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8E8" w:rsidRPr="00EF08E8" w:rsidRDefault="00EF08E8" w:rsidP="00EF08E8">
    <w:pPr>
      <w:spacing w:after="0" w:line="240" w:lineRule="auto"/>
      <w:ind w:firstLine="9639"/>
      <w:jc w:val="center"/>
      <w:rPr>
        <w:rFonts w:ascii="Arial" w:eastAsia="Times New Roman" w:hAnsi="Arial" w:cs="Arial"/>
        <w:bCs/>
        <w:lang w:eastAsia="ar-SA"/>
      </w:rPr>
    </w:pPr>
    <w:r w:rsidRPr="00EF08E8">
      <w:rPr>
        <w:rFonts w:ascii="Arial" w:eastAsia="Times New Roman" w:hAnsi="Arial" w:cs="Arial"/>
        <w:bCs/>
        <w:lang w:eastAsia="ar-SA"/>
      </w:rPr>
      <w:t xml:space="preserve">Приложение № </w:t>
    </w:r>
    <w:r w:rsidR="00BD0059">
      <w:rPr>
        <w:rFonts w:ascii="Arial" w:eastAsia="Times New Roman" w:hAnsi="Arial" w:cs="Arial"/>
        <w:bCs/>
        <w:lang w:eastAsia="ar-SA"/>
      </w:rPr>
      <w:t>8</w:t>
    </w:r>
    <w:bookmarkStart w:id="0" w:name="_GoBack"/>
    <w:bookmarkEnd w:id="0"/>
  </w:p>
  <w:p w:rsidR="00EF08E8" w:rsidRPr="00EF08E8" w:rsidRDefault="00EF08E8" w:rsidP="00EF08E8">
    <w:pPr>
      <w:spacing w:after="0" w:line="240" w:lineRule="auto"/>
      <w:ind w:firstLine="4820"/>
      <w:jc w:val="right"/>
      <w:rPr>
        <w:rFonts w:ascii="Arial" w:eastAsia="Times New Roman" w:hAnsi="Arial" w:cs="Arial"/>
        <w:bCs/>
        <w:lang w:eastAsia="ar-SA"/>
      </w:rPr>
    </w:pPr>
    <w:r w:rsidRPr="00EF08E8">
      <w:rPr>
        <w:rFonts w:ascii="Arial" w:eastAsia="Times New Roman" w:hAnsi="Arial" w:cs="Arial"/>
        <w:bCs/>
        <w:lang w:eastAsia="ar-SA"/>
      </w:rPr>
      <w:t xml:space="preserve">к протоколу </w:t>
    </w:r>
    <w:proofErr w:type="spellStart"/>
    <w:r w:rsidRPr="00EF08E8">
      <w:rPr>
        <w:rFonts w:ascii="Arial" w:eastAsia="Times New Roman" w:hAnsi="Arial" w:cs="Arial"/>
        <w:bCs/>
        <w:lang w:eastAsia="ar-SA"/>
      </w:rPr>
      <w:t>НТКМетр</w:t>
    </w:r>
    <w:proofErr w:type="spellEnd"/>
    <w:r w:rsidRPr="00EF08E8">
      <w:rPr>
        <w:rFonts w:ascii="Arial" w:eastAsia="Times New Roman" w:hAnsi="Arial" w:cs="Arial"/>
        <w:bCs/>
        <w:lang w:eastAsia="ar-SA"/>
      </w:rPr>
      <w:t xml:space="preserve"> № 50-2019</w:t>
    </w:r>
  </w:p>
  <w:p w:rsidR="00FA539E" w:rsidRDefault="00FA539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077"/>
    <w:rsid w:val="00004249"/>
    <w:rsid w:val="000047EA"/>
    <w:rsid w:val="00021E78"/>
    <w:rsid w:val="000325EA"/>
    <w:rsid w:val="0003575C"/>
    <w:rsid w:val="00040994"/>
    <w:rsid w:val="00043C36"/>
    <w:rsid w:val="0007276C"/>
    <w:rsid w:val="00075454"/>
    <w:rsid w:val="00092681"/>
    <w:rsid w:val="00096347"/>
    <w:rsid w:val="000D3A3F"/>
    <w:rsid w:val="00117968"/>
    <w:rsid w:val="00133CB2"/>
    <w:rsid w:val="00150671"/>
    <w:rsid w:val="00150D14"/>
    <w:rsid w:val="001542C0"/>
    <w:rsid w:val="001A7480"/>
    <w:rsid w:val="001D2D25"/>
    <w:rsid w:val="001E48FB"/>
    <w:rsid w:val="001F38EE"/>
    <w:rsid w:val="0023397A"/>
    <w:rsid w:val="002652FD"/>
    <w:rsid w:val="0029198F"/>
    <w:rsid w:val="002F0F3A"/>
    <w:rsid w:val="002F62A0"/>
    <w:rsid w:val="00327ED3"/>
    <w:rsid w:val="003410B4"/>
    <w:rsid w:val="00370595"/>
    <w:rsid w:val="00374982"/>
    <w:rsid w:val="00405A35"/>
    <w:rsid w:val="00415D10"/>
    <w:rsid w:val="00452443"/>
    <w:rsid w:val="00457657"/>
    <w:rsid w:val="004C485B"/>
    <w:rsid w:val="004D1077"/>
    <w:rsid w:val="004E0607"/>
    <w:rsid w:val="00507845"/>
    <w:rsid w:val="00543A18"/>
    <w:rsid w:val="005523E6"/>
    <w:rsid w:val="005740DD"/>
    <w:rsid w:val="00583D47"/>
    <w:rsid w:val="005844A5"/>
    <w:rsid w:val="00584F37"/>
    <w:rsid w:val="005A20A3"/>
    <w:rsid w:val="005C0564"/>
    <w:rsid w:val="005C1D82"/>
    <w:rsid w:val="00647BDE"/>
    <w:rsid w:val="006570E4"/>
    <w:rsid w:val="006631AC"/>
    <w:rsid w:val="006671B7"/>
    <w:rsid w:val="006E2D9F"/>
    <w:rsid w:val="006F54DD"/>
    <w:rsid w:val="00702AEE"/>
    <w:rsid w:val="00704624"/>
    <w:rsid w:val="00717C2E"/>
    <w:rsid w:val="00720DBB"/>
    <w:rsid w:val="00721B85"/>
    <w:rsid w:val="00772431"/>
    <w:rsid w:val="00773C9B"/>
    <w:rsid w:val="0077501F"/>
    <w:rsid w:val="00783743"/>
    <w:rsid w:val="00810EF9"/>
    <w:rsid w:val="008156F8"/>
    <w:rsid w:val="00843FA6"/>
    <w:rsid w:val="0086223E"/>
    <w:rsid w:val="00886CE8"/>
    <w:rsid w:val="008874C9"/>
    <w:rsid w:val="008E4C93"/>
    <w:rsid w:val="0093203C"/>
    <w:rsid w:val="0095405C"/>
    <w:rsid w:val="009548C8"/>
    <w:rsid w:val="00957B56"/>
    <w:rsid w:val="009729B2"/>
    <w:rsid w:val="00991AAA"/>
    <w:rsid w:val="009E6870"/>
    <w:rsid w:val="00A47642"/>
    <w:rsid w:val="00A54953"/>
    <w:rsid w:val="00A6453C"/>
    <w:rsid w:val="00A779E6"/>
    <w:rsid w:val="00A842B8"/>
    <w:rsid w:val="00A95C68"/>
    <w:rsid w:val="00A97AA0"/>
    <w:rsid w:val="00AB5C8F"/>
    <w:rsid w:val="00AC4611"/>
    <w:rsid w:val="00AD6AC9"/>
    <w:rsid w:val="00AF7126"/>
    <w:rsid w:val="00B43289"/>
    <w:rsid w:val="00B47404"/>
    <w:rsid w:val="00B52689"/>
    <w:rsid w:val="00B61AA7"/>
    <w:rsid w:val="00B8152C"/>
    <w:rsid w:val="00B858AC"/>
    <w:rsid w:val="00B85A88"/>
    <w:rsid w:val="00B92461"/>
    <w:rsid w:val="00BC07D7"/>
    <w:rsid w:val="00BD0059"/>
    <w:rsid w:val="00BD482F"/>
    <w:rsid w:val="00BE301B"/>
    <w:rsid w:val="00BF2736"/>
    <w:rsid w:val="00C01E83"/>
    <w:rsid w:val="00C0419F"/>
    <w:rsid w:val="00C40A08"/>
    <w:rsid w:val="00C42059"/>
    <w:rsid w:val="00C423DA"/>
    <w:rsid w:val="00CA35F8"/>
    <w:rsid w:val="00CA3F8B"/>
    <w:rsid w:val="00CA3FEC"/>
    <w:rsid w:val="00CB2EE1"/>
    <w:rsid w:val="00CD44DE"/>
    <w:rsid w:val="00D10086"/>
    <w:rsid w:val="00D21C53"/>
    <w:rsid w:val="00D2406A"/>
    <w:rsid w:val="00D34EB2"/>
    <w:rsid w:val="00D46027"/>
    <w:rsid w:val="00D70187"/>
    <w:rsid w:val="00D83710"/>
    <w:rsid w:val="00DD02B7"/>
    <w:rsid w:val="00E25352"/>
    <w:rsid w:val="00E448BE"/>
    <w:rsid w:val="00E629ED"/>
    <w:rsid w:val="00E8483F"/>
    <w:rsid w:val="00EB7E2F"/>
    <w:rsid w:val="00EC4DFC"/>
    <w:rsid w:val="00ED6558"/>
    <w:rsid w:val="00EF08E8"/>
    <w:rsid w:val="00F07277"/>
    <w:rsid w:val="00F24649"/>
    <w:rsid w:val="00F513F5"/>
    <w:rsid w:val="00F54F37"/>
    <w:rsid w:val="00F91AEF"/>
    <w:rsid w:val="00FA539E"/>
    <w:rsid w:val="00FD049F"/>
    <w:rsid w:val="00FF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9CF3FA6-A2E7-45E0-8CDD-74607A6E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5F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107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D70187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84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483F"/>
    <w:rPr>
      <w:rFonts w:ascii="Segoe UI" w:hAnsi="Segoe UI" w:cs="Segoe UI"/>
      <w:sz w:val="18"/>
      <w:szCs w:val="18"/>
      <w:lang w:eastAsia="en-US"/>
    </w:rPr>
  </w:style>
  <w:style w:type="paragraph" w:styleId="a7">
    <w:name w:val="List Paragraph"/>
    <w:basedOn w:val="a"/>
    <w:uiPriority w:val="34"/>
    <w:qFormat/>
    <w:rsid w:val="00A4764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A5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539E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FA5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539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6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0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0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3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138AF-AF63-4F05-87E2-A579C6840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klimushin</dc:creator>
  <cp:keywords/>
  <dc:description/>
  <cp:lastModifiedBy>Пользователь Windows</cp:lastModifiedBy>
  <cp:revision>11</cp:revision>
  <cp:lastPrinted>2019-10-15T13:47:00Z</cp:lastPrinted>
  <dcterms:created xsi:type="dcterms:W3CDTF">2019-09-25T14:18:00Z</dcterms:created>
  <dcterms:modified xsi:type="dcterms:W3CDTF">2019-10-31T04:56:00Z</dcterms:modified>
</cp:coreProperties>
</file>